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4" w:rsidRDefault="002E6E24" w:rsidP="002E6E24">
      <w:pPr>
        <w:jc w:val="center"/>
        <w:rPr>
          <w:b/>
        </w:rPr>
      </w:pPr>
      <w:r>
        <w:rPr>
          <w:b/>
        </w:rPr>
        <w:t>Контрольная работа для заочного обучения</w:t>
      </w:r>
    </w:p>
    <w:p w:rsidR="002E6E24" w:rsidRDefault="002E6E24" w:rsidP="002E6E24">
      <w:pPr>
        <w:jc w:val="center"/>
        <w:rPr>
          <w:b/>
        </w:rPr>
      </w:pPr>
      <w:r>
        <w:rPr>
          <w:b/>
        </w:rPr>
        <w:t xml:space="preserve">Инновационное предпринимательство 2018/2019    </w:t>
      </w:r>
      <w:proofErr w:type="spellStart"/>
      <w:r>
        <w:rPr>
          <w:b/>
        </w:rPr>
        <w:t>Сенокосова</w:t>
      </w:r>
      <w:proofErr w:type="spellEnd"/>
      <w:r>
        <w:rPr>
          <w:b/>
        </w:rPr>
        <w:t xml:space="preserve"> О.В.</w:t>
      </w:r>
    </w:p>
    <w:p w:rsidR="002E6E24" w:rsidRPr="002E6E24" w:rsidRDefault="002E6E24" w:rsidP="002E6E24">
      <w:pPr>
        <w:jc w:val="both"/>
        <w:rPr>
          <w:sz w:val="24"/>
          <w:szCs w:val="24"/>
        </w:rPr>
      </w:pPr>
    </w:p>
    <w:p w:rsidR="002E6E24" w:rsidRPr="002E6E24" w:rsidRDefault="002E6E24" w:rsidP="002E6E24">
      <w:pPr>
        <w:jc w:val="both"/>
        <w:rPr>
          <w:sz w:val="24"/>
          <w:szCs w:val="24"/>
        </w:rPr>
      </w:pPr>
    </w:p>
    <w:p w:rsidR="002E6E24" w:rsidRPr="002E6E24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b/>
        </w:rPr>
        <w:t xml:space="preserve">Ответьте на вопрос письменно. </w:t>
      </w:r>
      <w:r>
        <w:rPr>
          <w:b/>
        </w:rPr>
        <w:t xml:space="preserve">(1 вопрос на выбор) 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b/>
        </w:rPr>
        <w:t xml:space="preserve"> </w:t>
      </w:r>
      <w:r w:rsidRPr="001E62B0">
        <w:rPr>
          <w:rFonts w:eastAsiaTheme="minorHAnsi"/>
        </w:rPr>
        <w:t>Формы инновационного предпринимательства.</w:t>
      </w:r>
      <w:r w:rsidRPr="002E6E24">
        <w:rPr>
          <w:sz w:val="24"/>
          <w:szCs w:val="24"/>
        </w:rPr>
        <w:t xml:space="preserve"> </w:t>
      </w:r>
      <w:r w:rsidRPr="001E62B0">
        <w:rPr>
          <w:sz w:val="24"/>
          <w:szCs w:val="24"/>
        </w:rPr>
        <w:t xml:space="preserve">Руководство </w:t>
      </w:r>
      <w:proofErr w:type="spellStart"/>
      <w:r w:rsidRPr="001E62B0">
        <w:rPr>
          <w:sz w:val="24"/>
          <w:szCs w:val="24"/>
        </w:rPr>
        <w:t>Фраскатти</w:t>
      </w:r>
      <w:proofErr w:type="spellEnd"/>
      <w:r w:rsidRPr="001E62B0">
        <w:rPr>
          <w:sz w:val="24"/>
          <w:szCs w:val="24"/>
        </w:rPr>
        <w:t>. История, анализ развития. Преимущества новой редакции по сравнению с предыдущими изданиями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Руководство Осло. История, анализ развития. Преи</w:t>
      </w:r>
      <w:bookmarkStart w:id="0" w:name="_GoBack"/>
      <w:bookmarkEnd w:id="0"/>
      <w:r w:rsidRPr="001E62B0">
        <w:rPr>
          <w:sz w:val="24"/>
          <w:szCs w:val="24"/>
        </w:rPr>
        <w:t>мущества новой редакции по сравнению с предыдущими изданиями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Место России в международных рейтингах. </w:t>
      </w:r>
      <w:proofErr w:type="spellStart"/>
      <w:r w:rsidRPr="001E62B0">
        <w:rPr>
          <w:sz w:val="24"/>
          <w:szCs w:val="24"/>
        </w:rPr>
        <w:t>Бенчмаркинг</w:t>
      </w:r>
      <w:proofErr w:type="spellEnd"/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Особенности </w:t>
      </w:r>
      <w:proofErr w:type="spellStart"/>
      <w:r w:rsidRPr="001E62B0">
        <w:rPr>
          <w:sz w:val="24"/>
          <w:szCs w:val="24"/>
        </w:rPr>
        <w:t>бенчмаркинга</w:t>
      </w:r>
      <w:proofErr w:type="spellEnd"/>
      <w:r w:rsidRPr="001E62B0">
        <w:rPr>
          <w:sz w:val="24"/>
          <w:szCs w:val="24"/>
        </w:rPr>
        <w:t xml:space="preserve"> инновационной деятельности на национальном и региональном уровнях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Национальная инновационная система, ее содержание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Европейская инновационная политика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Соотношение затрат на научные исследования и разработки (</w:t>
      </w:r>
      <w:proofErr w:type="spellStart"/>
      <w:r w:rsidRPr="001E62B0">
        <w:rPr>
          <w:sz w:val="24"/>
          <w:szCs w:val="24"/>
        </w:rPr>
        <w:t>НИиИ</w:t>
      </w:r>
      <w:proofErr w:type="spellEnd"/>
      <w:r w:rsidRPr="001E62B0">
        <w:rPr>
          <w:sz w:val="24"/>
          <w:szCs w:val="24"/>
        </w:rPr>
        <w:t>) в России и развитых странах мира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Эволюция подхода США к выбору приоритетов в науке и технологиях и определения критических технологий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Японский опыт формирования технологических приоритетов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Прогнозирование технологического (научно-технического) развития Развитие </w:t>
      </w:r>
      <w:proofErr w:type="spellStart"/>
      <w:r w:rsidRPr="001E62B0">
        <w:rPr>
          <w:sz w:val="24"/>
          <w:szCs w:val="24"/>
        </w:rPr>
        <w:t>форсайта</w:t>
      </w:r>
      <w:proofErr w:type="spellEnd"/>
      <w:r w:rsidRPr="001E62B0">
        <w:rPr>
          <w:sz w:val="24"/>
          <w:szCs w:val="24"/>
        </w:rPr>
        <w:t xml:space="preserve"> в развитых странах мира (опыт Японии, США, Германии)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Метод </w:t>
      </w:r>
      <w:proofErr w:type="spellStart"/>
      <w:r w:rsidRPr="001E62B0">
        <w:rPr>
          <w:sz w:val="24"/>
          <w:szCs w:val="24"/>
        </w:rPr>
        <w:t>Дельфи</w:t>
      </w:r>
      <w:proofErr w:type="spellEnd"/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Российский  путь через «дорогу смерти»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Международная кооперация и партнерство в научно-технической сфере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 </w:t>
      </w:r>
      <w:proofErr w:type="spellStart"/>
      <w:proofErr w:type="gramStart"/>
      <w:r w:rsidRPr="001E62B0">
        <w:rPr>
          <w:sz w:val="24"/>
          <w:szCs w:val="24"/>
        </w:rPr>
        <w:t>Библиометрический</w:t>
      </w:r>
      <w:proofErr w:type="spellEnd"/>
      <w:r w:rsidRPr="001E62B0">
        <w:rPr>
          <w:sz w:val="24"/>
          <w:szCs w:val="24"/>
        </w:rPr>
        <w:t xml:space="preserve"> анализ (совместные публикации в научно-технический сфере) </w:t>
      </w:r>
      <w:proofErr w:type="gramEnd"/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Оценка стратегии Европейского союза в сфере исследований и разработок (увеличение инвестиций в  </w:t>
      </w:r>
      <w:proofErr w:type="spellStart"/>
      <w:r w:rsidRPr="001E62B0">
        <w:rPr>
          <w:sz w:val="24"/>
          <w:szCs w:val="24"/>
        </w:rPr>
        <w:t>НИиР</w:t>
      </w:r>
      <w:proofErr w:type="spellEnd"/>
      <w:r w:rsidRPr="001E62B0">
        <w:rPr>
          <w:sz w:val="24"/>
          <w:szCs w:val="24"/>
        </w:rPr>
        <w:t xml:space="preserve"> с 1,9% ВВП в 2000 г. до 3% в 2010)</w:t>
      </w:r>
    </w:p>
    <w:p w:rsidR="002E6E24" w:rsidRPr="001E62B0" w:rsidRDefault="002E6E24" w:rsidP="002E6E2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 Недостатки существующей российской системы статистических показателей инновационной деятельности</w:t>
      </w:r>
    </w:p>
    <w:p w:rsidR="002E6E24" w:rsidRPr="001E62B0" w:rsidRDefault="002E6E24" w:rsidP="002E6E24">
      <w:pPr>
        <w:pStyle w:val="Default"/>
        <w:ind w:left="786"/>
        <w:rPr>
          <w:b/>
        </w:rPr>
      </w:pPr>
    </w:p>
    <w:p w:rsidR="002E6E24" w:rsidRPr="001E62B0" w:rsidRDefault="002E6E24" w:rsidP="002E6E24">
      <w:pPr>
        <w:pStyle w:val="Default"/>
        <w:numPr>
          <w:ilvl w:val="0"/>
          <w:numId w:val="4"/>
        </w:numPr>
        <w:rPr>
          <w:b/>
        </w:rPr>
      </w:pPr>
      <w:r w:rsidRPr="001E62B0">
        <w:rPr>
          <w:b/>
        </w:rPr>
        <w:t xml:space="preserve">Решите задачу. </w:t>
      </w:r>
    </w:p>
    <w:p w:rsidR="002E6E24" w:rsidRPr="002E6E24" w:rsidRDefault="002E6E24" w:rsidP="002E6E24">
      <w:pPr>
        <w:ind w:left="360"/>
        <w:jc w:val="both"/>
        <w:rPr>
          <w:sz w:val="24"/>
          <w:szCs w:val="24"/>
        </w:rPr>
      </w:pPr>
      <w:r w:rsidRPr="002E6E24">
        <w:rPr>
          <w:sz w:val="24"/>
          <w:szCs w:val="24"/>
        </w:rPr>
        <w:t>Предприятие анализирует два инвестиционных проекта в 2 млн. руб. оценка чистых денежных поступлений приведена в таблице. Альтернативные издержки по инвестициям равны 12%. Для выбора наименее рискового инновационного  проекта необходимо:</w:t>
      </w:r>
    </w:p>
    <w:p w:rsidR="002E6E24" w:rsidRPr="001E62B0" w:rsidRDefault="002E6E24" w:rsidP="002E6E24">
      <w:pPr>
        <w:ind w:left="36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 xml:space="preserve">А) Определить чистую приведенную стоимость </w:t>
      </w:r>
    </w:p>
    <w:tbl>
      <w:tblPr>
        <w:tblStyle w:val="a5"/>
        <w:tblW w:w="0" w:type="auto"/>
        <w:tblLook w:val="04A0"/>
      </w:tblPr>
      <w:tblGrid>
        <w:gridCol w:w="959"/>
        <w:gridCol w:w="2126"/>
        <w:gridCol w:w="2693"/>
        <w:gridCol w:w="3792"/>
      </w:tblGrid>
      <w:tr w:rsidR="002E6E24" w:rsidRPr="001E62B0" w:rsidTr="003A1C1C">
        <w:tc>
          <w:tcPr>
            <w:tcW w:w="959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Проект</w:t>
            </w:r>
            <w:proofErr w:type="gramStart"/>
            <w:r w:rsidRPr="001E62B0">
              <w:rPr>
                <w:sz w:val="24"/>
                <w:szCs w:val="24"/>
              </w:rPr>
              <w:t xml:space="preserve"> А</w:t>
            </w:r>
            <w:proofErr w:type="gramEnd"/>
            <w:r w:rsidRPr="001E62B0">
              <w:rPr>
                <w:sz w:val="24"/>
                <w:szCs w:val="24"/>
              </w:rPr>
              <w:t>, млн. руб.</w:t>
            </w:r>
          </w:p>
        </w:tc>
        <w:tc>
          <w:tcPr>
            <w:tcW w:w="2693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Проект</w:t>
            </w:r>
            <w:proofErr w:type="gramStart"/>
            <w:r w:rsidRPr="001E62B0">
              <w:rPr>
                <w:sz w:val="24"/>
                <w:szCs w:val="24"/>
              </w:rPr>
              <w:t xml:space="preserve"> В</w:t>
            </w:r>
            <w:proofErr w:type="gramEnd"/>
            <w:r w:rsidRPr="001E62B0">
              <w:rPr>
                <w:sz w:val="24"/>
                <w:szCs w:val="24"/>
              </w:rPr>
              <w:t>, млн. руб.</w:t>
            </w:r>
          </w:p>
        </w:tc>
        <w:tc>
          <w:tcPr>
            <w:tcW w:w="3792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 xml:space="preserve">Чистая приведенная стоимость, млн. руб. </w:t>
            </w:r>
          </w:p>
        </w:tc>
      </w:tr>
      <w:tr w:rsidR="002E6E24" w:rsidRPr="001E62B0" w:rsidTr="003A1C1C">
        <w:tc>
          <w:tcPr>
            <w:tcW w:w="959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0,9</w:t>
            </w:r>
          </w:p>
        </w:tc>
        <w:tc>
          <w:tcPr>
            <w:tcW w:w="2693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0,8</w:t>
            </w:r>
          </w:p>
        </w:tc>
        <w:tc>
          <w:tcPr>
            <w:tcW w:w="3792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E6E24" w:rsidRPr="001E62B0" w:rsidTr="003A1C1C">
        <w:tc>
          <w:tcPr>
            <w:tcW w:w="959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1,6</w:t>
            </w:r>
          </w:p>
        </w:tc>
        <w:tc>
          <w:tcPr>
            <w:tcW w:w="2693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1,1</w:t>
            </w:r>
          </w:p>
        </w:tc>
        <w:tc>
          <w:tcPr>
            <w:tcW w:w="3792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E6E24" w:rsidRPr="001E62B0" w:rsidTr="003A1C1C">
        <w:tc>
          <w:tcPr>
            <w:tcW w:w="959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0,6</w:t>
            </w:r>
          </w:p>
        </w:tc>
        <w:tc>
          <w:tcPr>
            <w:tcW w:w="3792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E6E24" w:rsidRPr="001E62B0" w:rsidTr="003A1C1C">
        <w:tc>
          <w:tcPr>
            <w:tcW w:w="959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1,1</w:t>
            </w:r>
          </w:p>
        </w:tc>
        <w:tc>
          <w:tcPr>
            <w:tcW w:w="3792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E6E24" w:rsidRPr="001E62B0" w:rsidTr="003A1C1C">
        <w:tc>
          <w:tcPr>
            <w:tcW w:w="959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  <w:r w:rsidRPr="001E62B0">
              <w:rPr>
                <w:sz w:val="24"/>
                <w:szCs w:val="24"/>
              </w:rPr>
              <w:t>0,3</w:t>
            </w:r>
          </w:p>
        </w:tc>
        <w:tc>
          <w:tcPr>
            <w:tcW w:w="3792" w:type="dxa"/>
          </w:tcPr>
          <w:p w:rsidR="002E6E24" w:rsidRPr="001E62B0" w:rsidRDefault="002E6E24" w:rsidP="003A1C1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2E6E24" w:rsidRPr="001E62B0" w:rsidRDefault="002E6E24" w:rsidP="002E6E24">
      <w:pPr>
        <w:ind w:left="360"/>
        <w:jc w:val="both"/>
        <w:rPr>
          <w:sz w:val="24"/>
          <w:szCs w:val="24"/>
        </w:rPr>
      </w:pPr>
      <w:r w:rsidRPr="001E62B0">
        <w:rPr>
          <w:sz w:val="24"/>
          <w:szCs w:val="24"/>
        </w:rPr>
        <w:t>Сделайте вывод.</w:t>
      </w:r>
    </w:p>
    <w:p w:rsidR="002E6E24" w:rsidRPr="001E62B0" w:rsidRDefault="002E6E24" w:rsidP="002E6E24">
      <w:pPr>
        <w:ind w:left="360"/>
        <w:rPr>
          <w:sz w:val="24"/>
          <w:szCs w:val="24"/>
        </w:rPr>
      </w:pPr>
      <w:r w:rsidRPr="001E62B0">
        <w:rPr>
          <w:sz w:val="24"/>
          <w:szCs w:val="24"/>
        </w:rPr>
        <w:t>Б) определить  внутреннюю норму доходности инвестиционных проектов.(</w:t>
      </w:r>
      <w:r w:rsidRPr="001E62B0">
        <w:rPr>
          <w:sz w:val="24"/>
          <w:szCs w:val="24"/>
          <w:lang w:val="en-US"/>
        </w:rPr>
        <w:t>IRR</w:t>
      </w:r>
      <w:r w:rsidRPr="001E62B0">
        <w:rPr>
          <w:sz w:val="24"/>
          <w:szCs w:val="24"/>
        </w:rPr>
        <w:t>)</w:t>
      </w:r>
    </w:p>
    <w:p w:rsidR="002E6E24" w:rsidRPr="001E62B0" w:rsidRDefault="002E6E24" w:rsidP="002E6E24">
      <w:pPr>
        <w:ind w:left="360"/>
        <w:rPr>
          <w:sz w:val="24"/>
          <w:szCs w:val="24"/>
        </w:rPr>
      </w:pPr>
      <w:r w:rsidRPr="001E62B0">
        <w:rPr>
          <w:sz w:val="24"/>
          <w:szCs w:val="24"/>
        </w:rPr>
        <w:t>В) период окупаемости проектов, учетный коэффициент окупаемости инвестиций (с условием, что остаточная стоимость каждого проекта равна нулю)</w:t>
      </w:r>
    </w:p>
    <w:p w:rsidR="002E6E24" w:rsidRPr="001E62B0" w:rsidRDefault="002E6E24" w:rsidP="002E6E24">
      <w:pPr>
        <w:ind w:left="360"/>
        <w:rPr>
          <w:sz w:val="24"/>
          <w:szCs w:val="24"/>
        </w:rPr>
      </w:pPr>
      <w:r w:rsidRPr="001E62B0">
        <w:rPr>
          <w:sz w:val="24"/>
          <w:szCs w:val="24"/>
        </w:rPr>
        <w:t>Сравните применяемые методы оценки рисков и сделайте вывод.</w:t>
      </w:r>
    </w:p>
    <w:p w:rsidR="008F29FB" w:rsidRDefault="008F29FB"/>
    <w:sectPr w:rsidR="008F29FB" w:rsidSect="00C8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E2E"/>
    <w:multiLevelType w:val="hybridMultilevel"/>
    <w:tmpl w:val="E33E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229C5"/>
    <w:multiLevelType w:val="hybridMultilevel"/>
    <w:tmpl w:val="66EE59E2"/>
    <w:lvl w:ilvl="0" w:tplc="8BB8A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1033"/>
    <w:multiLevelType w:val="hybridMultilevel"/>
    <w:tmpl w:val="1DA25B5E"/>
    <w:lvl w:ilvl="0" w:tplc="16787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24"/>
    <w:rsid w:val="002E6E24"/>
    <w:rsid w:val="007A4526"/>
    <w:rsid w:val="008F29FB"/>
    <w:rsid w:val="008F413E"/>
    <w:rsid w:val="00C844A9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E2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E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E6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2E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E2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E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E6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2E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</dc:creator>
  <cp:lastModifiedBy>klopovayv</cp:lastModifiedBy>
  <cp:revision>2</cp:revision>
  <dcterms:created xsi:type="dcterms:W3CDTF">2018-12-21T09:02:00Z</dcterms:created>
  <dcterms:modified xsi:type="dcterms:W3CDTF">2018-12-21T09:02:00Z</dcterms:modified>
</cp:coreProperties>
</file>